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2026年第三批医用耗材遴选</w:t>
      </w:r>
      <w:bookmarkEnd w:id="0"/>
      <w:r>
        <w:rPr>
          <w:rFonts w:hint="eastAsia" w:ascii="方正小标宋简体" w:hAnsi="方正小标宋简体" w:eastAsia="方正小标宋简体" w:cs="方正小标宋简体"/>
          <w:sz w:val="44"/>
          <w:szCs w:val="44"/>
          <w:lang w:val="en-US" w:eastAsia="zh-CN"/>
        </w:rPr>
        <w:t>项目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843627"/>
      <w:bookmarkEnd w:id="2"/>
      <w:bookmarkStart w:id="3" w:name="_Hlt101233737"/>
      <w:bookmarkEnd w:id="3"/>
      <w:bookmarkStart w:id="4" w:name="_Toc183682338"/>
      <w:bookmarkStart w:id="5" w:name="_Toc217446030"/>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10</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4"/>
      <w:bookmarkStart w:id="10" w:name="OLE_LINK19"/>
      <w:bookmarkStart w:id="11" w:name="_Toc213396759"/>
      <w:bookmarkStart w:id="12" w:name="_Toc7915"/>
      <w:bookmarkStart w:id="13" w:name="_Toc213397009"/>
      <w:bookmarkStart w:id="14" w:name="_Toc20736"/>
      <w:bookmarkStart w:id="15" w:name="_Toc217446031"/>
      <w:bookmarkStart w:id="16" w:name="_Toc213496267"/>
      <w:bookmarkStart w:id="17" w:name="_Toc213396945"/>
      <w:bookmarkStart w:id="18" w:name="_Toc89075871"/>
      <w:bookmarkStart w:id="19" w:name="_Toc183582202"/>
      <w:bookmarkStart w:id="20" w:name="_Toc77400776"/>
      <w:bookmarkStart w:id="21" w:name="_Toc183682339"/>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711"/>
        <w:gridCol w:w="1930"/>
        <w:gridCol w:w="1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bookmarkStart w:id="22" w:name="OLE_LINK2" w:colFirst="1" w:colLast="1"/>
            <w:bookmarkStart w:id="23" w:name="OLE_LINK1"/>
            <w:r>
              <w:rPr>
                <w:rFonts w:hint="eastAsia" w:ascii="仿宋_GB2312" w:hAnsi="仿宋_GB2312" w:eastAsia="仿宋_GB2312" w:cs="仿宋_GB2312"/>
                <w:kern w:val="2"/>
                <w:sz w:val="24"/>
                <w:szCs w:val="24"/>
                <w:vertAlign w:val="baseline"/>
                <w:lang w:val="en-US" w:eastAsia="zh-CN" w:bidi="ar-SA"/>
              </w:rPr>
              <w:t>序号</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62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包一</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宫腔用交联透明质酸钠凝胶</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3ML</w:t>
            </w:r>
          </w:p>
        </w:tc>
        <w:tc>
          <w:tcPr>
            <w:tcW w:w="162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包二</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highlight w:val="none"/>
                <w:lang w:val="en-US" w:eastAsia="zh-CN" w:bidi="ar-SA"/>
              </w:rPr>
              <w:t>医用透明质酸钠凝胶</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15ML</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包三</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highlight w:val="none"/>
                <w:lang w:val="en-US" w:eastAsia="zh-CN" w:bidi="ar-SA"/>
              </w:rPr>
              <w:t>高频切除电极</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WA22302D：环形，24Fr，中号，12°</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highlight w:val="no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高频切除电极</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WA22351C：滚球形，24-28Fr，12°和30°</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高频切除电极</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WA22355C：45°针形，24-28Fr，中号，12°和30°</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包四</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一次性使用无菌盆底穿刺引导器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WS-PD-P</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个</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2026年10月22日—2026年10月29日17:00截止。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2026年10月22日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ascii="华文中宋" w:hAnsi="华文中宋" w:eastAsia="华文中宋" w:cs="宋体"/>
          <w:bCs/>
          <w:szCs w:val="32"/>
        </w:rPr>
      </w:pPr>
    </w:p>
    <w:p>
      <w:pPr>
        <w:pStyle w:val="2"/>
        <w:rPr>
          <w:rFonts w:hint="eastAsia"/>
        </w:rPr>
      </w:pPr>
    </w:p>
    <w:p>
      <w:pPr>
        <w:pStyle w:val="3"/>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213396946"/>
      <w:bookmarkStart w:id="27" w:name="_Toc217446032"/>
      <w:bookmarkStart w:id="28" w:name="_Toc184274915"/>
      <w:bookmarkStart w:id="29" w:name="_Toc213496268"/>
      <w:bookmarkStart w:id="30" w:name="_Toc189727030"/>
      <w:bookmarkStart w:id="31" w:name="_Toc184283909"/>
      <w:bookmarkStart w:id="32" w:name="_Toc3389"/>
      <w:bookmarkStart w:id="33" w:name="_Toc213397010"/>
      <w:bookmarkStart w:id="34" w:name="_Toc213396760"/>
      <w:bookmarkStart w:id="35" w:name="_Toc15899"/>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2026年第三批医用耗材遴选项目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20146"/>
      <w:bookmarkStart w:id="38" w:name="_Toc217446038"/>
      <w:bookmarkStart w:id="39" w:name="_Toc89075875"/>
      <w:bookmarkStart w:id="40" w:name="_Toc77400779"/>
      <w:bookmarkStart w:id="41" w:name="_Toc12399"/>
      <w:bookmarkStart w:id="42" w:name="_Toc183682346"/>
      <w:bookmarkStart w:id="43" w:name="_Toc183582209"/>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183582210"/>
      <w:bookmarkStart w:id="45" w:name="_Toc183682347"/>
      <w:bookmarkStart w:id="46" w:name="_Toc217446039"/>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lang w:val="en-US" w:eastAsia="zh-CN" w:bidi="ar"/>
        </w:rPr>
        <w:t>一、遴选项目：</w:t>
      </w:r>
      <w:r>
        <w:rPr>
          <w:rFonts w:hint="eastAsia" w:ascii="仿宋_GB2312" w:hAnsi="仿宋_GB2312" w:eastAsia="仿宋_GB2312" w:cs="仿宋_GB2312"/>
          <w:b w:val="0"/>
          <w:kern w:val="0"/>
          <w:sz w:val="28"/>
          <w:szCs w:val="28"/>
          <w:highlight w:val="none"/>
          <w:lang w:val="en-US" w:eastAsia="zh-CN" w:bidi="ar"/>
        </w:rPr>
        <w:t>2026年第三批医用耗材遴选项目</w:t>
      </w:r>
    </w:p>
    <w:p>
      <w:pPr>
        <w:widowControl/>
        <w:ind w:firstLine="280" w:firstLineChars="1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二、</w:t>
      </w:r>
      <w:bookmarkStart w:id="47" w:name="_Hlk518850668"/>
      <w:r>
        <w:rPr>
          <w:rFonts w:hint="eastAsia" w:ascii="仿宋_GB2312" w:hAnsi="仿宋_GB2312" w:eastAsia="仿宋_GB2312" w:cs="仿宋_GB2312"/>
          <w:b w:val="0"/>
          <w:kern w:val="0"/>
          <w:sz w:val="28"/>
          <w:szCs w:val="28"/>
          <w:highlight w:val="none"/>
          <w:lang w:val="en-US" w:eastAsia="zh-CN" w:bidi="ar"/>
        </w:rPr>
        <w:t>遴选产品名称：包一：宫腔用交联透明质酸钠凝胶</w:t>
      </w:r>
    </w:p>
    <w:p>
      <w:pPr>
        <w:widowControl/>
        <w:ind w:firstLine="2800" w:firstLineChars="10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包二：医用透明质酸钠凝胶</w:t>
      </w:r>
    </w:p>
    <w:p>
      <w:pPr>
        <w:widowControl/>
        <w:ind w:firstLine="2800" w:firstLineChars="10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包三：高频切除电极</w:t>
      </w:r>
    </w:p>
    <w:p>
      <w:pPr>
        <w:widowControl/>
        <w:ind w:firstLine="2800" w:firstLineChars="1000"/>
        <w:rPr>
          <w:rFonts w:hint="default"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包四：一次性使用无菌盆底穿刺引导器</w:t>
      </w:r>
    </w:p>
    <w:p>
      <w:pPr>
        <w:widowControl/>
        <w:ind w:firstLine="280" w:firstLineChars="1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widowControl/>
        <w:ind w:firstLine="280" w:firstLineChars="100"/>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四、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pStyle w:val="14"/>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ind w:left="446" w:leftChars="-94" w:hanging="643" w:hangingChars="200"/>
        <w:rPr>
          <w:rFonts w:hint="eastAsia"/>
          <w:b/>
          <w:bCs/>
          <w:color w:val="auto"/>
          <w:sz w:val="32"/>
          <w:szCs w:val="32"/>
          <w:lang w:val="en-US" w:eastAsia="zh-CN"/>
        </w:rPr>
      </w:pPr>
      <w:bookmarkStart w:id="50" w:name="OLE_LINK12"/>
      <w:r>
        <w:rPr>
          <w:rFonts w:hint="eastAsia"/>
          <w:b/>
          <w:bCs/>
          <w:color w:val="auto"/>
          <w:sz w:val="32"/>
          <w:szCs w:val="32"/>
          <w:lang w:val="en-US" w:eastAsia="zh-CN"/>
        </w:rPr>
        <w:t>附件：</w:t>
      </w:r>
      <w:r>
        <w:rPr>
          <w:rFonts w:hint="eastAsia" w:ascii="华文中宋" w:hAnsi="华文中宋" w:eastAsia="华文中宋" w:cs="宋体"/>
          <w:b/>
          <w:color w:val="auto"/>
          <w:sz w:val="24"/>
        </w:rPr>
        <w:t>技术参数要求</w:t>
      </w:r>
    </w:p>
    <w:p>
      <w:pPr>
        <w:pStyle w:val="9"/>
        <w:rPr>
          <w:rFonts w:hint="default"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一、遴选项目及技术要求</w:t>
      </w:r>
    </w:p>
    <w:bookmarkEnd w:id="50"/>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b w:val="0"/>
          <w:color w:val="auto"/>
          <w:kern w:val="0"/>
          <w:sz w:val="36"/>
          <w:szCs w:val="36"/>
          <w:highlight w:val="none"/>
          <w:lang w:val="en-US" w:eastAsia="zh-CN" w:bidi="ar"/>
        </w:rPr>
      </w:pPr>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包一：</w:t>
      </w:r>
      <w:r>
        <w:rPr>
          <w:rFonts w:hint="eastAsia" w:ascii="方正小标宋简体" w:hAnsi="方正小标宋简体" w:eastAsia="方正小标宋简体" w:cs="方正小标宋简体"/>
          <w:b w:val="0"/>
          <w:bCs w:val="0"/>
          <w:color w:val="auto"/>
          <w:sz w:val="36"/>
          <w:szCs w:val="36"/>
          <w:vertAlign w:val="baseline"/>
          <w:lang w:val="en-US" w:eastAsia="zh-CN"/>
        </w:rPr>
        <w:t>宫腔用交联透明质酸钠凝胶</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ascii="宋体" w:hAnsi="宋体" w:eastAsia="宋体" w:cs="宋体"/>
                <w:sz w:val="24"/>
                <w:szCs w:val="24"/>
              </w:rPr>
              <w:t>由预充式注射器、延长管、预灌封凝胶；凝胶主要成分为交联透明质酸钠（5mg/mL）、氯化钠、磷酸氢二钠、磷酸二氢钠、注射用水。预防中重度宫腔粘连松解术后宫腔组织再粘连。依靠物理屏障隔离创面，减少纤维蛋白沉积，降低粘连发生；凝胶可在体内逐步降解吸收，无需二次手术取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3ml（单支独立包装，1 支 / 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rPr>
            </w:pPr>
            <w:r>
              <w:rPr>
                <w:rFonts w:ascii="宋体" w:hAnsi="宋体" w:eastAsia="宋体" w:cs="宋体"/>
                <w:sz w:val="24"/>
                <w:szCs w:val="24"/>
                <w:lang w:val="en-US" w:eastAsia="en-US"/>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pPr>
              <w:pStyle w:val="9"/>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eastAsia="zh-CN"/>
              </w:rPr>
            </w:pPr>
            <w:r>
              <w:rPr>
                <w:rFonts w:hint="eastAsia" w:ascii="宋体" w:hAnsi="宋体" w:eastAsia="宋体" w:cs="宋体"/>
                <w:sz w:val="24"/>
                <w:szCs w:val="24"/>
                <w:lang w:eastAsia="zh-CN"/>
              </w:rPr>
              <w:t>▲</w:t>
            </w:r>
            <w:r>
              <w:rPr>
                <w:rFonts w:ascii="宋体" w:hAnsi="宋体" w:eastAsia="宋体" w:cs="宋体"/>
                <w:sz w:val="24"/>
                <w:szCs w:val="24"/>
              </w:rPr>
              <w:t>无色透明交联透明质酸钠凝胶，粘弹性良好，pH 及渗透压适配宫腔生理环境，生物相容性佳；交联结构可在宫腔创面形成物理屏障，缓慢降解吸收。配套预充注射器推注顺畅，无菌、内毒素及各项理化、生物安全指标符合注册技术要求。</w:t>
            </w:r>
          </w:p>
        </w:tc>
      </w:tr>
    </w:tbl>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pPr>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包二：医用透明质酸钠凝胶</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ascii="宋体" w:hAnsi="宋体" w:eastAsia="宋体" w:cs="宋体"/>
                <w:sz w:val="24"/>
                <w:szCs w:val="24"/>
                <w:lang w:val="en-US" w:eastAsia="en-US"/>
              </w:rPr>
              <w:t>预充式注射器 + 凝胶；凝胶主要成分为透明质酸钠（微生物发酵法制备，无动物源）、磷酸盐缓冲盐、注射用水。用于预防或减少腹（盆）腔手术术后粘连，妇产科可用于宫腔镜、腹腔镜、剖宫产等手术，术中涂布于创面，形成物理屏障，隔离组织创面，减少纤维蛋白沉积，降低粘连发生；凝胶在体内可逐步降解吸收，无需二次取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rPr>
            </w:pPr>
            <w:r>
              <w:rPr>
                <w:rFonts w:ascii="宋体" w:hAnsi="宋体" w:eastAsia="宋体" w:cs="宋体"/>
                <w:sz w:val="24"/>
                <w:szCs w:val="24"/>
                <w:lang w:val="en-US" w:eastAsia="en-US"/>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auto"/>
                <w:highlight w:val="none"/>
                <w:lang w:eastAsia="zh-CN"/>
              </w:rPr>
            </w:pPr>
            <w:r>
              <w:rPr>
                <w:rFonts w:hint="eastAsia"/>
                <w:color w:val="auto"/>
                <w:highlight w:val="none"/>
                <w:lang w:eastAsia="zh-CN"/>
              </w:rPr>
              <w:t>产品性能</w:t>
            </w:r>
            <w:r>
              <w:rPr>
                <w:rFonts w:hint="eastAsia"/>
                <w:color w:val="auto"/>
                <w:highlight w:val="none"/>
                <w:lang w:val="en-US" w:eastAsia="zh-CN"/>
              </w:rPr>
              <w:t>要求及</w:t>
            </w:r>
            <w:r>
              <w:rPr>
                <w:rFonts w:hint="eastAsia"/>
                <w:color w:val="auto"/>
                <w:highlight w:val="none"/>
                <w:lang w:eastAsia="zh-CN"/>
              </w:rPr>
              <w:t>其它性能描述请分项说明并自己应答。</w:t>
            </w:r>
          </w:p>
          <w:p>
            <w:pPr>
              <w:pStyle w:val="9"/>
              <w:rPr>
                <w:rFonts w:hint="eastAsia"/>
                <w:color w:val="auto"/>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▲本品为无色透明非交联医用透明质酸钠凝胶，微生物发酵制备无动物源，粘弹性、润滑性良好，pH 及渗透压适配人体组织环境，生物相容性佳；可在创面形成物理屏障，体内可降解吸收。预充注射器推注顺畅，无菌、内毒素及理化、生物学指标均符合注册技术要求。</w:t>
            </w:r>
          </w:p>
        </w:tc>
      </w:tr>
    </w:tbl>
    <w:p>
      <w:pPr>
        <w:pStyle w:val="9"/>
        <w:ind w:left="420" w:firstLine="2640" w:firstLineChars="1100"/>
        <w:rPr>
          <w:rFonts w:hint="eastAsia" w:ascii="仿宋_GB2312" w:hAnsi="仿宋_GB2312" w:eastAsia="仿宋_GB2312" w:cs="仿宋_GB2312"/>
          <w:color w:val="auto"/>
          <w:kern w:val="2"/>
          <w:sz w:val="24"/>
          <w:szCs w:val="24"/>
          <w:highlight w:val="none"/>
          <w:lang w:val="en-US" w:eastAsia="zh-CN" w:bidi="ar-SA"/>
        </w:rPr>
      </w:pPr>
    </w:p>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pPr>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包三：高频切除电极</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序号1</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一次性环形电极（电极丝、绝缘杆、连接接头）组成；配套高频电缆为重复使用件。与电切内窥镜、等离子高频电刀配套，在生理盐水介质下，经宫颈进入宫腔，对宫腔组织实施切割、凝固、等离子汽化；可用于宫腔镜下子宫肌瘤、内膜息肉、宫腔粘连等手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WA22302D：环形，24Fr，中号，12°</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适配：奥林巴斯 24Fr 等离子电切镜。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en-US"/>
              </w:rPr>
              <w:t>产品</w:t>
            </w:r>
            <w:r>
              <w:rPr>
                <w:rFonts w:ascii="宋体" w:hAnsi="宋体" w:eastAsia="宋体" w:cs="宋体"/>
                <w:sz w:val="24"/>
                <w:szCs w:val="24"/>
                <w:lang w:val="en-US" w:eastAsia="en-US"/>
              </w:rPr>
              <w:t>符合</w:t>
            </w:r>
            <w:r>
              <w:rPr>
                <w:rFonts w:hint="eastAsia" w:ascii="宋体" w:hAnsi="宋体" w:eastAsia="宋体" w:cs="宋体"/>
                <w:sz w:val="24"/>
                <w:szCs w:val="24"/>
                <w:lang w:val="en-US" w:eastAsia="en-US"/>
              </w:rPr>
              <w:t>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产品性能要求及其它性能描述请分项说明并自己应答。</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▲与奥林巴斯内窥镜、等离子高频电刀配套，适配生理盐水等离子系统；电极环焊接牢固，绝缘层耐盐水，12° 前倾弯角便于宫腔侧壁、宫角操作；等离子低温切割，热损伤小，电气安全达标，EO 灭菌无菌，生物相容性良好，可完成宫腔组织切割、凝固、等离子汽化。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序号2</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滚球形电极头、绝缘套管、电极杆；配套高频电缆（电缆可重复使用），与电切内窥镜、高频电刀配套，生理盐水介质下，用于宫腔、膀胱组织的凝固、切割、等离子手术，妇科宫腔镜电切手术适用。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WA22351C：滚球形，24-28Fr，12°和30°。</w:t>
            </w:r>
            <w:r>
              <w:rPr>
                <w:rFonts w:hint="default" w:ascii="宋体" w:hAnsi="宋体" w:eastAsia="宋体" w:cs="宋体"/>
                <w:sz w:val="24"/>
                <w:szCs w:val="24"/>
                <w:lang w:val="en-US" w:eastAsia="zh-CN"/>
              </w:rPr>
              <w:t>适配：奥林巴斯 24Fr 等离子电切镜。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en-US"/>
              </w:rPr>
              <w:t>产品</w:t>
            </w:r>
            <w:r>
              <w:rPr>
                <w:rFonts w:ascii="宋体" w:hAnsi="宋体" w:eastAsia="宋体" w:cs="宋体"/>
                <w:sz w:val="24"/>
                <w:szCs w:val="24"/>
                <w:lang w:val="en-US" w:eastAsia="en-US"/>
              </w:rPr>
              <w:t>符合</w:t>
            </w:r>
            <w:r>
              <w:rPr>
                <w:rFonts w:hint="eastAsia" w:ascii="宋体" w:hAnsi="宋体" w:eastAsia="宋体" w:cs="宋体"/>
                <w:sz w:val="24"/>
                <w:szCs w:val="24"/>
                <w:lang w:val="en-US" w:eastAsia="en-US"/>
              </w:rPr>
              <w:t>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产品性能要求及其它性能描述请分项说明并自己应答。</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▲与奥林巴斯内窥镜、等离子高频电刀配套，适配 24-28Fr，适用于 12°、30° 电切镜，配套高频电刀，生理盐水环境下用于宫腔、膀胱组织切割、凝固及等离子汽化；绝缘可靠、导电稳定，端头光滑，止血效果优良，符合医用电气安全及生物相容性标准，EO 灭菌，一次性使用。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序号3</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 针形电极头、绝缘套管、电极杆；配套高频电缆可重复使用。 搭配电切内窥镜与高频电刀，生理盐水介质下，用于宫腔、前列腺、膀胱病变组织的精细切割、凝固止血、等离子汽化；针形电极适合精细点切、瘢痕组织分离、微小病灶汽化，妇科宫腔镜手术常用。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WA22355C：45°针形，24-28Fr，中号，12°和30°</w:t>
            </w:r>
            <w:r>
              <w:rPr>
                <w:rFonts w:hint="default" w:ascii="宋体" w:hAnsi="宋体" w:eastAsia="宋体" w:cs="宋体"/>
                <w:sz w:val="24"/>
                <w:szCs w:val="24"/>
                <w:lang w:val="en-US" w:eastAsia="zh-CN"/>
              </w:rPr>
              <w:t>适配：奥林巴斯 24Fr 等离子电切镜。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en-US"/>
              </w:rPr>
              <w:t>产品</w:t>
            </w:r>
            <w:r>
              <w:rPr>
                <w:rFonts w:ascii="宋体" w:hAnsi="宋体" w:eastAsia="宋体" w:cs="宋体"/>
                <w:sz w:val="24"/>
                <w:szCs w:val="24"/>
                <w:lang w:val="en-US" w:eastAsia="en-US"/>
              </w:rPr>
              <w:t>符合</w:t>
            </w:r>
            <w:r>
              <w:rPr>
                <w:rFonts w:hint="eastAsia" w:ascii="宋体" w:hAnsi="宋体" w:eastAsia="宋体" w:cs="宋体"/>
                <w:sz w:val="24"/>
                <w:szCs w:val="24"/>
                <w:lang w:val="en-US" w:eastAsia="en-US"/>
              </w:rPr>
              <w:t>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产品性能要求及其它性能描述请分项说明并自己应答。</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▲与奥林巴斯内窥镜、等离子高频电刀配套，一次性环氧乙烷灭菌 45° 针形高频切除电极，适配 24-28Fr 鞘管，兼容 12°、30° 电切镜；配套高频电刀，生理盐水环境下用于宫腔、前列腺、膀胱组织精细定点切割、凝固止血与等离子汽化；针尖精细，绝缘可靠，能量集中，适合微小病灶、瘢痕组织精细手术，符合医用电气安全及生物相容性标准。</w:t>
            </w:r>
          </w:p>
        </w:tc>
      </w:tr>
    </w:tbl>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pPr>
      <w:r>
        <w:rPr>
          <w:rFonts w:hint="eastAsia" w:ascii="方正小标宋简体" w:hAnsi="方正小标宋简体" w:eastAsia="方正小标宋简体" w:cs="方正小标宋简体"/>
          <w:color w:val="auto"/>
          <w:kern w:val="2"/>
          <w:sz w:val="36"/>
          <w:szCs w:val="36"/>
          <w:highlight w:val="none"/>
          <w:vertAlign w:val="baseline"/>
          <w:lang w:val="en-US" w:eastAsia="zh-CN" w:bidi="ar-SA"/>
        </w:rPr>
        <w:t>包四：一次性使用无菌盆底穿刺引导器</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auto"/>
                <w:kern w:val="2"/>
                <w:sz w:val="24"/>
                <w:szCs w:val="24"/>
                <w:highlight w:val="none"/>
                <w:vertAlign w:val="baseline"/>
                <w:lang w:val="en-US" w:eastAsia="zh-CN" w:bidi="ar-SA"/>
              </w:rPr>
            </w:pPr>
            <w:r>
              <w:rPr>
                <w:rFonts w:hint="eastAsia" w:ascii="黑体" w:hAnsi="黑体" w:eastAsia="黑体" w:cs="黑体"/>
                <w:color w:val="auto"/>
                <w:kern w:val="2"/>
                <w:sz w:val="24"/>
                <w:szCs w:val="24"/>
                <w:highlight w:val="none"/>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en-US"/>
              </w:rPr>
              <w:t>本品由穿刺勾针、主体手柄、锁固组件组成；勾针采用医用不锈钢，手柄、锁固件为医用高分子材料。用于妇科盆底重建手术，经阴道入路，引导悬吊缝线穿过骶棘韧带，完成盆底脏器悬吊、压力性尿失禁盆底修复；穿刺引线完成后取出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WS-PD-P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en-US"/>
              </w:rPr>
              <w:t>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产品性能</w:t>
            </w:r>
            <w:r>
              <w:rPr>
                <w:rFonts w:hint="eastAsia" w:ascii="宋体" w:hAnsi="宋体" w:eastAsia="宋体" w:cs="宋体"/>
                <w:sz w:val="24"/>
                <w:szCs w:val="24"/>
                <w:lang w:val="en-US" w:eastAsia="zh-CN"/>
              </w:rPr>
              <w:t>要求及</w:t>
            </w:r>
            <w:r>
              <w:rPr>
                <w:rFonts w:hint="eastAsia" w:ascii="宋体" w:hAnsi="宋体" w:eastAsia="宋体" w:cs="宋体"/>
                <w:sz w:val="24"/>
                <w:szCs w:val="24"/>
                <w:lang w:eastAsia="zh-CN"/>
              </w:rPr>
              <w:t>其它性能描述请分项说明并自己应答。</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val="en-US" w:eastAsia="en-US"/>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en-US"/>
              </w:rPr>
              <w:t>一次性使用无菌盆底穿刺引导器，由医用不锈钢勾针与高分子手柄组成，表面抛光无毛刺；勾针强度高，锁固稳定，适配盆底重建手术，引导缝线穿过骶棘韧带；EO 灭菌无菌，耐腐蚀，生物相容性良好，机械、微生物及生物学指标符合注册技术要求。</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p>
        </w:tc>
      </w:tr>
    </w:tbl>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lang w:eastAsia="zh-CN"/>
        </w:rPr>
      </w:pPr>
    </w:p>
    <w:p>
      <w:pPr>
        <w:pStyle w:val="9"/>
      </w:pPr>
    </w:p>
    <w:p>
      <w:pPr>
        <w:rPr>
          <w:rFonts w:hint="eastAsia" w:ascii="仿宋_GB2312" w:hAnsi="仿宋_GB2312" w:eastAsia="仿宋_GB2312" w:cs="仿宋_GB2312"/>
          <w:b w:val="0"/>
          <w:kern w:val="0"/>
          <w:sz w:val="28"/>
          <w:szCs w:val="28"/>
          <w:highlight w:val="none"/>
          <w:lang w:val="en-US" w:eastAsia="zh-CN" w:bidi="ar"/>
        </w:rPr>
      </w:pPr>
      <w:bookmarkStart w:id="51" w:name="OLE_LINK5"/>
      <w:r>
        <w:rPr>
          <w:rFonts w:hint="eastAsia" w:ascii="仿宋_GB2312" w:hAnsi="仿宋_GB2312" w:eastAsia="仿宋_GB2312" w:cs="仿宋_GB2312"/>
          <w:b w:val="0"/>
          <w:kern w:val="0"/>
          <w:sz w:val="28"/>
          <w:szCs w:val="28"/>
          <w:highlight w:val="none"/>
          <w:lang w:val="en-US" w:eastAsia="zh-CN" w:bidi="ar"/>
        </w:rPr>
        <w:t>注：其中标注“</w:t>
      </w:r>
      <w:bookmarkStart w:id="52" w:name="OLE_LINK7"/>
      <w:r>
        <w:rPr>
          <w:rFonts w:hint="eastAsia" w:ascii="仿宋_GB2312" w:hAnsi="仿宋_GB2312" w:eastAsia="仿宋_GB2312" w:cs="仿宋_GB2312"/>
          <w:b w:val="0"/>
          <w:kern w:val="0"/>
          <w:sz w:val="28"/>
          <w:szCs w:val="28"/>
          <w:highlight w:val="none"/>
          <w:lang w:val="en-US" w:eastAsia="zh-CN" w:bidi="ar"/>
        </w:rPr>
        <w:t>▲</w:t>
      </w:r>
      <w:bookmarkEnd w:id="52"/>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bookmarkEnd w:id="51"/>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2退还：样品退还时间在成交结果公告发出后（具体时间以电话或短信</w:t>
      </w:r>
      <w:bookmarkStart w:id="56" w:name="_GoBack"/>
      <w:bookmarkEnd w:id="56"/>
      <w:r>
        <w:rPr>
          <w:rFonts w:hint="eastAsia" w:ascii="仿宋_GB2312" w:hAnsi="仿宋_GB2312" w:eastAsia="仿宋_GB2312" w:cs="仿宋_GB2312"/>
          <w:b w:val="0"/>
          <w:kern w:val="0"/>
          <w:sz w:val="28"/>
          <w:szCs w:val="28"/>
          <w:highlight w:val="none"/>
          <w:lang w:val="en-US" w:eastAsia="zh-CN" w:bidi="ar"/>
        </w:rPr>
        <w:t>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3"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30</w:t>
            </w:r>
            <w:r>
              <w:rPr>
                <w:rFonts w:hint="eastAsia" w:ascii="微软雅黑" w:hAnsi="微软雅黑" w:eastAsia="微软雅黑" w:cs="微软雅黑"/>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30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30</w:t>
            </w:r>
            <w:r>
              <w:rPr>
                <w:rFonts w:hint="eastAsia" w:ascii="微软雅黑" w:hAnsi="微软雅黑" w:eastAsia="微软雅黑" w:cs="微软雅黑"/>
                <w:sz w:val="18"/>
                <w:szCs w:val="18"/>
                <w:highlight w:val="none"/>
              </w:rPr>
              <w:t>分；有一条▲重要参数负偏离扣</w:t>
            </w:r>
            <w:r>
              <w:rPr>
                <w:rFonts w:hint="eastAsia" w:ascii="微软雅黑" w:hAnsi="微软雅黑" w:eastAsia="微软雅黑" w:cs="微软雅黑"/>
                <w:sz w:val="18"/>
                <w:szCs w:val="18"/>
                <w:highlight w:val="none"/>
                <w:lang w:val="en-US" w:eastAsia="zh-CN"/>
              </w:rPr>
              <w:t>5</w:t>
            </w:r>
            <w:r>
              <w:rPr>
                <w:rFonts w:hint="eastAsia" w:ascii="微软雅黑" w:hAnsi="微软雅黑" w:eastAsia="微软雅黑" w:cs="微软雅黑"/>
                <w:sz w:val="18"/>
                <w:szCs w:val="18"/>
                <w:highlight w:val="none"/>
              </w:rPr>
              <w:t>分，其他一般参数（有负偏离的一项扣</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w:t>
            </w:r>
            <w:r>
              <w:rPr>
                <w:rFonts w:hint="eastAsia" w:ascii="微软雅黑" w:hAnsi="微软雅黑" w:eastAsia="微软雅黑" w:cs="微软雅黑"/>
                <w:color w:val="auto"/>
                <w:sz w:val="18"/>
                <w:szCs w:val="18"/>
                <w:highlight w:val="none"/>
                <w:lang w:val="en-US" w:eastAsia="zh-CN"/>
              </w:rPr>
              <w:t>15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15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提供投标样品的完整性和样品质量、外观、制作材料、性能等综合评定，综合评定最佳得15分，其余按3分一个梯度递减，扣完为止。无不得分。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2"/>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2"/>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3"/>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2026年第三批医用耗材遴选项目</w:t>
      </w:r>
    </w:p>
    <w:p>
      <w:pPr>
        <w:ind w:firstLine="2249" w:firstLineChars="800"/>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3</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ind w:firstLine="2640" w:firstLineChars="600"/>
        <w:rPr>
          <w:rFonts w:hint="eastAsia"/>
          <w:sz w:val="44"/>
          <w:szCs w:val="44"/>
          <w:lang w:eastAsia="zh-CN"/>
        </w:rPr>
      </w:pPr>
    </w:p>
    <w:p>
      <w:pPr>
        <w:ind w:firstLine="3080" w:firstLineChars="700"/>
        <w:rPr>
          <w:rFonts w:hint="eastAsia"/>
          <w:sz w:val="44"/>
          <w:szCs w:val="44"/>
          <w:lang w:eastAsia="zh-CN"/>
        </w:rPr>
      </w:pPr>
      <w:r>
        <w:rPr>
          <w:rFonts w:hint="eastAsia"/>
          <w:sz w:val="44"/>
          <w:szCs w:val="44"/>
          <w:lang w:eastAsia="zh-CN"/>
        </w:rPr>
        <w:t>（</w:t>
      </w:r>
      <w:r>
        <w:rPr>
          <w:rFonts w:hint="eastAsia"/>
          <w:sz w:val="44"/>
          <w:szCs w:val="44"/>
          <w:lang w:val="en-US" w:eastAsia="zh-CN"/>
        </w:rPr>
        <w:t>包：X</w:t>
      </w:r>
      <w:r>
        <w:rPr>
          <w:rFonts w:hint="eastAsia"/>
          <w:sz w:val="44"/>
          <w:szCs w:val="44"/>
          <w:lang w:eastAsia="zh-CN"/>
        </w:rPr>
        <w:t>）</w:t>
      </w: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1045"/>
        <w:gridCol w:w="311"/>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237" w:type="dxa"/>
            <w:gridSpan w:val="2"/>
            <w:noWrap/>
            <w:vAlign w:val="center"/>
          </w:tcPr>
          <w:p>
            <w:pPr>
              <w:jc w:val="center"/>
              <w:rPr>
                <w:sz w:val="24"/>
              </w:rPr>
            </w:pPr>
            <w:r>
              <w:rPr>
                <w:rFonts w:hint="eastAsia"/>
                <w:sz w:val="24"/>
              </w:rPr>
              <w:t>生产企业许可证号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237" w:type="dxa"/>
            <w:gridSpan w:val="2"/>
            <w:noWrap/>
            <w:vAlign w:val="center"/>
          </w:tcPr>
          <w:p>
            <w:pPr>
              <w:jc w:val="center"/>
              <w:rPr>
                <w:sz w:val="24"/>
              </w:rPr>
            </w:pPr>
            <w:r>
              <w:rPr>
                <w:rFonts w:hint="eastAsia"/>
                <w:sz w:val="24"/>
              </w:rPr>
              <w:t>帐  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4" w:name="OLE_LINK30"/>
      <w:r>
        <w:rPr>
          <w:rFonts w:hint="eastAsia"/>
          <w:b/>
          <w:sz w:val="44"/>
          <w:szCs w:val="44"/>
        </w:rPr>
        <w:t>业绩情况表</w:t>
      </w:r>
      <w:bookmarkEnd w:id="54"/>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3"/>
        </w:numPr>
        <w:spacing w:line="360" w:lineRule="auto"/>
        <w:ind w:left="357" w:hanging="357"/>
        <w:rPr>
          <w:szCs w:val="21"/>
        </w:rPr>
      </w:pPr>
      <w:r>
        <w:rPr>
          <w:rFonts w:hint="eastAsia"/>
          <w:szCs w:val="21"/>
        </w:rPr>
        <w:t>遴选人可根据自己实际业绩情况续添表格。</w:t>
      </w:r>
    </w:p>
    <w:p>
      <w:pPr>
        <w:numPr>
          <w:ilvl w:val="0"/>
          <w:numId w:val="3"/>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3"/>
        </w:numPr>
        <w:spacing w:line="360" w:lineRule="auto"/>
        <w:ind w:left="357" w:hanging="357"/>
        <w:rPr>
          <w:szCs w:val="21"/>
        </w:rPr>
      </w:pPr>
      <w:r>
        <w:rPr>
          <w:rFonts w:hint="eastAsia"/>
          <w:szCs w:val="21"/>
        </w:rPr>
        <w:t>遴选</w:t>
      </w:r>
      <w:r>
        <w:rPr>
          <w:rFonts w:hint="eastAsia"/>
        </w:rPr>
        <w:t>人提供供货品名应包含本次</w:t>
      </w:r>
      <w:bookmarkStart w:id="55" w:name="OLE_LINK31"/>
      <w:r>
        <w:rPr>
          <w:rFonts w:hint="eastAsia"/>
          <w:lang w:val="en-US" w:eastAsia="zh-CN"/>
        </w:rPr>
        <w:t>遴选</w:t>
      </w:r>
      <w:r>
        <w:rPr>
          <w:rFonts w:hint="eastAsia"/>
        </w:rPr>
        <w:t>内容所涉及的品名</w:t>
      </w:r>
      <w:bookmarkEnd w:id="55"/>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4D7F0DB"/>
    <w:multiLevelType w:val="singleLevel"/>
    <w:tmpl w:val="44D7F0DB"/>
    <w:lvl w:ilvl="0" w:tentative="0">
      <w:start w:val="1"/>
      <w:numFmt w:val="decimal"/>
      <w:suff w:val="nothing"/>
      <w:lvlText w:val="%1、"/>
      <w:lvlJc w:val="left"/>
    </w:lvl>
  </w:abstractNum>
  <w:abstractNum w:abstractNumId="2">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807665"/>
    <w:rsid w:val="01E70014"/>
    <w:rsid w:val="02A90D23"/>
    <w:rsid w:val="02AB367C"/>
    <w:rsid w:val="03195DA0"/>
    <w:rsid w:val="03F9087C"/>
    <w:rsid w:val="05597B2D"/>
    <w:rsid w:val="0767189C"/>
    <w:rsid w:val="086B314A"/>
    <w:rsid w:val="09387EF0"/>
    <w:rsid w:val="0A4B0D1B"/>
    <w:rsid w:val="0AE9729B"/>
    <w:rsid w:val="0B3E477B"/>
    <w:rsid w:val="0D5B0077"/>
    <w:rsid w:val="0D707F59"/>
    <w:rsid w:val="0E2930D9"/>
    <w:rsid w:val="102E579C"/>
    <w:rsid w:val="112115A6"/>
    <w:rsid w:val="12CC27CF"/>
    <w:rsid w:val="130846BD"/>
    <w:rsid w:val="142C636E"/>
    <w:rsid w:val="153C6A85"/>
    <w:rsid w:val="157A6E54"/>
    <w:rsid w:val="171905FE"/>
    <w:rsid w:val="17F86055"/>
    <w:rsid w:val="185350FA"/>
    <w:rsid w:val="193F3F8B"/>
    <w:rsid w:val="19FE010D"/>
    <w:rsid w:val="1AB95DD4"/>
    <w:rsid w:val="1C3D578D"/>
    <w:rsid w:val="1CFA299A"/>
    <w:rsid w:val="1F125F48"/>
    <w:rsid w:val="1FFF29BA"/>
    <w:rsid w:val="20817957"/>
    <w:rsid w:val="20E22BD7"/>
    <w:rsid w:val="217338B9"/>
    <w:rsid w:val="21A70FDA"/>
    <w:rsid w:val="22264B96"/>
    <w:rsid w:val="26E94C1D"/>
    <w:rsid w:val="279938C3"/>
    <w:rsid w:val="29A7321E"/>
    <w:rsid w:val="29DF4FE4"/>
    <w:rsid w:val="2A0E1AD1"/>
    <w:rsid w:val="2C6058BE"/>
    <w:rsid w:val="2D2E52D3"/>
    <w:rsid w:val="2DDD5E77"/>
    <w:rsid w:val="2F772CBA"/>
    <w:rsid w:val="303B4617"/>
    <w:rsid w:val="31596E00"/>
    <w:rsid w:val="31EE5DD2"/>
    <w:rsid w:val="32110C25"/>
    <w:rsid w:val="33075531"/>
    <w:rsid w:val="33966705"/>
    <w:rsid w:val="35995C06"/>
    <w:rsid w:val="36370E00"/>
    <w:rsid w:val="38077F0A"/>
    <w:rsid w:val="381B6742"/>
    <w:rsid w:val="3AEF1277"/>
    <w:rsid w:val="3B3C28BA"/>
    <w:rsid w:val="3BC73741"/>
    <w:rsid w:val="3C490855"/>
    <w:rsid w:val="3CB85D40"/>
    <w:rsid w:val="3EEB0A10"/>
    <w:rsid w:val="3F862AD9"/>
    <w:rsid w:val="41956633"/>
    <w:rsid w:val="42841CF7"/>
    <w:rsid w:val="461E795D"/>
    <w:rsid w:val="471E76C0"/>
    <w:rsid w:val="4BFD2092"/>
    <w:rsid w:val="4F076272"/>
    <w:rsid w:val="4FB52321"/>
    <w:rsid w:val="504C263A"/>
    <w:rsid w:val="509708BC"/>
    <w:rsid w:val="51017F2E"/>
    <w:rsid w:val="529C7B89"/>
    <w:rsid w:val="52A973CC"/>
    <w:rsid w:val="5404669D"/>
    <w:rsid w:val="54D05064"/>
    <w:rsid w:val="56A2484D"/>
    <w:rsid w:val="578D05CA"/>
    <w:rsid w:val="5A64000D"/>
    <w:rsid w:val="5A8E174B"/>
    <w:rsid w:val="5B4D0C4A"/>
    <w:rsid w:val="5CDB1970"/>
    <w:rsid w:val="5F182C77"/>
    <w:rsid w:val="5FFE1E57"/>
    <w:rsid w:val="611539DF"/>
    <w:rsid w:val="630255B2"/>
    <w:rsid w:val="64626698"/>
    <w:rsid w:val="656A1874"/>
    <w:rsid w:val="66C370E7"/>
    <w:rsid w:val="67163E67"/>
    <w:rsid w:val="692264AF"/>
    <w:rsid w:val="69B52C48"/>
    <w:rsid w:val="6A303450"/>
    <w:rsid w:val="6A6D26C5"/>
    <w:rsid w:val="6B9F2F79"/>
    <w:rsid w:val="6BD21116"/>
    <w:rsid w:val="7026552C"/>
    <w:rsid w:val="714B5871"/>
    <w:rsid w:val="723E076B"/>
    <w:rsid w:val="748D469F"/>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8978</Words>
  <Characters>9384</Characters>
  <Lines>58</Lines>
  <Paragraphs>16</Paragraphs>
  <TotalTime>11</TotalTime>
  <ScaleCrop>false</ScaleCrop>
  <LinksUpToDate>false</LinksUpToDate>
  <CharactersWithSpaces>9626</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2026-10-22T05:57:41Z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eyJoZGlkIjoiZmZjM2ViODFmNzdjMjgxZjkxNjk5NWNhNGI3YWZhN2MifQ==</vt:lpwstr>
  </property>
</Properties>
</file>