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2026年第四批医用耗材遴选</w:t>
      </w:r>
      <w:bookmarkEnd w:id="0"/>
      <w:r>
        <w:rPr>
          <w:rFonts w:hint="eastAsia" w:ascii="方正小标宋简体" w:hAnsi="方正小标宋简体" w:eastAsia="方正小标宋简体" w:cs="方正小标宋简体"/>
          <w:sz w:val="44"/>
          <w:szCs w:val="44"/>
          <w:lang w:val="en-US" w:eastAsia="zh-CN"/>
        </w:rPr>
        <w:t>项目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233737"/>
      <w:bookmarkEnd w:id="2"/>
      <w:bookmarkStart w:id="3" w:name="_Hlt101843627"/>
      <w:bookmarkEnd w:id="3"/>
      <w:bookmarkStart w:id="4" w:name="_Toc183682338"/>
      <w:bookmarkStart w:id="5" w:name="_Toc217446030"/>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10</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19"/>
      <w:bookmarkStart w:id="10" w:name="OLE_LINK4"/>
      <w:bookmarkStart w:id="11" w:name="_Toc213496267"/>
      <w:bookmarkStart w:id="12" w:name="_Toc213397009"/>
      <w:bookmarkStart w:id="13" w:name="_Toc217446031"/>
      <w:bookmarkStart w:id="14" w:name="_Toc7915"/>
      <w:bookmarkStart w:id="15" w:name="_Toc20736"/>
      <w:bookmarkStart w:id="16" w:name="_Toc213396759"/>
      <w:bookmarkStart w:id="17" w:name="_Toc213396945"/>
      <w:bookmarkStart w:id="18" w:name="_Toc183682339"/>
      <w:bookmarkStart w:id="19" w:name="_Toc77400776"/>
      <w:bookmarkStart w:id="20" w:name="_Toc89075871"/>
      <w:bookmarkStart w:id="21" w:name="_Toc183582202"/>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157"/>
        <w:gridCol w:w="2109"/>
        <w:gridCol w:w="1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bookmarkStart w:id="22" w:name="OLE_LINK2" w:colFirst="1" w:colLast="1"/>
            <w:bookmarkStart w:id="23" w:name="OLE_LINK1"/>
            <w:r>
              <w:rPr>
                <w:rFonts w:hint="eastAsia" w:ascii="仿宋_GB2312" w:hAnsi="仿宋_GB2312" w:eastAsia="仿宋_GB2312" w:cs="仿宋_GB2312"/>
                <w:kern w:val="2"/>
                <w:sz w:val="24"/>
                <w:szCs w:val="24"/>
                <w:vertAlign w:val="baseline"/>
                <w:lang w:val="en-US" w:eastAsia="zh-CN" w:bidi="ar-SA"/>
              </w:rPr>
              <w:t>序号</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w:t>
            </w:r>
          </w:p>
        </w:tc>
        <w:tc>
          <w:tcPr>
            <w:tcW w:w="3157" w:type="dxa"/>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医用贻贝粘蛋白液体敷料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sz w:val="24"/>
                <w:szCs w:val="24"/>
                <w:lang w:val="en-US" w:eastAsia="zh-CN"/>
                <w14:textFill>
                  <w14:solidFill>
                    <w14:schemeClr w14:val="tx1"/>
                  </w14:solidFill>
                </w14:textFill>
              </w:rPr>
              <w:t>5g/支</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2</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含利多卡因注射用透明质酸钠溶液</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2ml/支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3</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医用护理功能敷料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100g/瓶</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4</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医用聚谷氨酸功能敷料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30g/支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5</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注射用透明质酸钠复合溶液</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2.5ml/支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6</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注射用透明质酸钠复合溶液</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1.5ml/支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7</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DAS9P32G-54</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8</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一次性皮肤使用点刺针</w:t>
            </w:r>
          </w:p>
        </w:tc>
        <w:tc>
          <w:tcPr>
            <w:tcW w:w="2109" w:type="dxa"/>
            <w:vAlign w:val="center"/>
          </w:tcPr>
          <w:p>
            <w:pPr>
              <w:widowControl w:val="0"/>
              <w:numPr>
                <w:ilvl w:val="0"/>
                <w:numId w:val="0"/>
              </w:numPr>
              <w:ind w:leftChars="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0.18×2.5mm</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9</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1.2×38mm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10</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0.3×13mm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11</w:t>
            </w:r>
          </w:p>
        </w:tc>
        <w:tc>
          <w:tcPr>
            <w:tcW w:w="3157" w:type="dxa"/>
            <w:vAlign w:val="center"/>
          </w:tcPr>
          <w:p>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34G</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0.18*4mm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12</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一次性使用无菌皮肤滚针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1.0mm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13</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一次性使用无菌皮肤滚针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0.5mm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14</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医用透明质酸敷料护理包</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7g/6支/盒</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15</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3g/瓶</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瓶</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备注：本遴选项目整体划分为 1 个包，参与供应商报价时须包含以上全部内容，报价未包含以上全部内容的作废标处理，不接受联合体投标。</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2026年10月22日—2026年10月29日17:00截止。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2026年10月22日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ascii="华文中宋" w:hAnsi="华文中宋" w:eastAsia="华文中宋" w:cs="宋体"/>
          <w:bCs/>
          <w:szCs w:val="32"/>
        </w:rPr>
      </w:pPr>
    </w:p>
    <w:p>
      <w:pPr>
        <w:pStyle w:val="2"/>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217446032"/>
      <w:bookmarkStart w:id="27" w:name="_Toc189727030"/>
      <w:bookmarkStart w:id="28" w:name="_Toc184283909"/>
      <w:bookmarkStart w:id="29" w:name="_Toc213397010"/>
      <w:bookmarkStart w:id="30" w:name="_Toc213396946"/>
      <w:bookmarkStart w:id="31" w:name="_Toc213396760"/>
      <w:bookmarkStart w:id="32" w:name="_Toc15899"/>
      <w:bookmarkStart w:id="33" w:name="_Toc213496268"/>
      <w:bookmarkStart w:id="34" w:name="_Toc184274915"/>
      <w:bookmarkStart w:id="35" w:name="_Toc3389"/>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2026年第四批医用耗材遴选项目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217446038"/>
      <w:bookmarkStart w:id="38" w:name="_Toc77400779"/>
      <w:bookmarkStart w:id="39" w:name="_Toc183582209"/>
      <w:bookmarkStart w:id="40" w:name="_Toc12399"/>
      <w:bookmarkStart w:id="41" w:name="_Toc89075875"/>
      <w:bookmarkStart w:id="42" w:name="_Toc183682346"/>
      <w:bookmarkStart w:id="43" w:name="_Toc20146"/>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183682347"/>
      <w:bookmarkStart w:id="45" w:name="_Toc183582210"/>
      <w:bookmarkStart w:id="46" w:name="_Toc217446039"/>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lang w:val="en-US" w:eastAsia="zh-CN" w:bidi="ar"/>
        </w:rPr>
        <w:t>一、遴选项目：2026年第四批医用耗材遴选项目</w:t>
      </w:r>
    </w:p>
    <w:p>
      <w:pPr>
        <w:widowControl/>
        <w:ind w:firstLine="280" w:firstLineChars="100"/>
        <w:rPr>
          <w:rFonts w:hint="default"/>
          <w:lang w:val="en-US" w:eastAsia="zh-CN"/>
        </w:rPr>
      </w:pPr>
      <w:r>
        <w:rPr>
          <w:rFonts w:hint="eastAsia" w:ascii="仿宋_GB2312" w:hAnsi="仿宋_GB2312" w:eastAsia="仿宋_GB2312" w:cs="仿宋_GB2312"/>
          <w:b w:val="0"/>
          <w:kern w:val="0"/>
          <w:sz w:val="28"/>
          <w:szCs w:val="28"/>
          <w:lang w:val="en-US" w:eastAsia="zh-CN" w:bidi="ar"/>
        </w:rPr>
        <w:t xml:space="preserve"> 二、</w:t>
      </w:r>
      <w:bookmarkStart w:id="47" w:name="_Hlk518850668"/>
      <w:r>
        <w:rPr>
          <w:rFonts w:hint="eastAsia" w:ascii="仿宋_GB2312" w:hAnsi="仿宋_GB2312" w:eastAsia="仿宋_GB2312" w:cs="仿宋_GB2312"/>
          <w:b w:val="0"/>
          <w:kern w:val="0"/>
          <w:sz w:val="28"/>
          <w:szCs w:val="28"/>
          <w:lang w:val="en-US" w:eastAsia="zh-CN" w:bidi="ar"/>
        </w:rPr>
        <w:t>遴选产品名称：医美耗材</w:t>
      </w:r>
    </w:p>
    <w:p>
      <w:pPr>
        <w:widowControl/>
        <w:ind w:firstLine="280" w:firstLineChars="100"/>
        <w:outlineLvl w:val="5"/>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pStyle w:val="9"/>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highlight w:val="none"/>
          <w:lang w:val="en-US" w:eastAsia="zh-CN" w:bidi="ar"/>
        </w:rPr>
        <w:t>四、</w:t>
      </w:r>
      <w:r>
        <w:rPr>
          <w:rFonts w:hint="eastAsia" w:ascii="仿宋_GB2312" w:hAnsi="仿宋_GB2312" w:eastAsia="仿宋_GB2312" w:cs="仿宋_GB2312"/>
          <w:b w:val="0"/>
          <w:kern w:val="0"/>
          <w:sz w:val="28"/>
          <w:szCs w:val="28"/>
          <w:lang w:val="en-US" w:eastAsia="zh-CN" w:bidi="ar"/>
        </w:rPr>
        <w:t>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pStyle w:val="14"/>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ind w:left="446" w:leftChars="-94" w:hanging="643" w:hangingChars="200"/>
        <w:rPr>
          <w:rFonts w:hint="eastAsia"/>
          <w:b/>
          <w:bCs/>
          <w:color w:val="auto"/>
          <w:sz w:val="32"/>
          <w:szCs w:val="32"/>
          <w:lang w:val="en-US" w:eastAsia="zh-CN"/>
        </w:rPr>
      </w:pPr>
      <w:bookmarkStart w:id="50" w:name="OLE_LINK12"/>
      <w:r>
        <w:rPr>
          <w:rFonts w:hint="eastAsia"/>
          <w:b/>
          <w:bCs/>
          <w:color w:val="auto"/>
          <w:sz w:val="32"/>
          <w:szCs w:val="32"/>
          <w:lang w:val="en-US" w:eastAsia="zh-CN"/>
        </w:rPr>
        <w:t>附件：</w:t>
      </w:r>
      <w:r>
        <w:rPr>
          <w:rFonts w:hint="eastAsia" w:ascii="华文中宋" w:hAnsi="华文中宋" w:eastAsia="华文中宋" w:cs="宋体"/>
          <w:b/>
          <w:color w:val="auto"/>
          <w:sz w:val="24"/>
        </w:rPr>
        <w:t>技术参数要求</w:t>
      </w:r>
    </w:p>
    <w:p>
      <w:pPr>
        <w:pStyle w:val="9"/>
        <w:rPr>
          <w:rFonts w:hint="default"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一、遴选项目及技术要求</w:t>
      </w:r>
    </w:p>
    <w:bookmarkEnd w:id="50"/>
    <w:p>
      <w:pPr>
        <w:pStyle w:val="9"/>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leftChars="0"/>
        <w:jc w:val="center"/>
        <w:textAlignment w:val="auto"/>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（一）医用贻贝粘蛋白液体敷料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both"/>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产品主要由：贻贝粘蛋白</w:t>
            </w:r>
            <w:r>
              <w:rPr>
                <w:rFonts w:hint="eastAsia" w:ascii="宋体" w:hAnsi="宋体" w:eastAsia="宋体" w:cs="宋体"/>
                <w:color w:val="000000" w:themeColor="text1"/>
                <w:sz w:val="24"/>
                <w:szCs w:val="24"/>
                <w:lang w:val="en-US" w:eastAsia="zh-CN"/>
                <w14:textFill>
                  <w14:solidFill>
                    <w14:schemeClr w14:val="tx1"/>
                  </w14:solidFill>
                </w14:textFill>
              </w:rPr>
              <w:t>、甲基纤维素组成，适用于</w:t>
            </w:r>
            <w:r>
              <w:rPr>
                <w:rFonts w:hint="eastAsia" w:ascii="宋体" w:hAnsi="宋体" w:eastAsia="宋体" w:cs="宋体"/>
                <w:color w:val="000000" w:themeColor="text1"/>
                <w:kern w:val="0"/>
                <w:sz w:val="24"/>
                <w:szCs w:val="24"/>
                <w:lang w:val="en-US" w:eastAsia="zh-CN" w:bidi="ar"/>
                <w14:textFill>
                  <w14:solidFill>
                    <w14:schemeClr w14:val="tx1"/>
                  </w14:solidFill>
                </w14:textFill>
              </w:rPr>
              <w:t>抗炎舒缓、褪红止痒、修复屏障、缓解敏感不适症状。</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5g/支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▲结构组成：贻贝粘蛋白、甲基纤维素、丙二醇、甘油、柠檬酸、纯净水。</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（二）</w:t>
      </w:r>
      <w:r>
        <w:rPr>
          <w:rFonts w:hint="eastAsia"/>
          <w:color w:val="000000" w:themeColor="text1"/>
          <w:sz w:val="36"/>
          <w:szCs w:val="36"/>
          <w14:textFill>
            <w14:solidFill>
              <w14:schemeClr w14:val="tx1"/>
            </w14:solidFill>
          </w14:textFill>
        </w:rPr>
        <w:t>含利多卡因注射用透明质酸钠溶液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both"/>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透明质酸钠、盐酸利多卡因组成。</w:t>
            </w:r>
          </w:p>
          <w:p>
            <w:pPr>
              <w:keepNext w:val="0"/>
              <w:keepLines w:val="0"/>
              <w:widowControl/>
              <w:suppressLineNumbers w:val="0"/>
              <w:jc w:val="left"/>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适用</w:t>
            </w:r>
            <w:r>
              <w:rPr>
                <w:rFonts w:hint="eastAsia" w:ascii="宋体" w:hAnsi="宋体" w:eastAsia="宋体" w:cs="宋体"/>
                <w:color w:val="000000" w:themeColor="text1"/>
                <w:sz w:val="24"/>
                <w:szCs w:val="24"/>
                <w14:textFill>
                  <w14:solidFill>
                    <w14:schemeClr w14:val="tx1"/>
                  </w14:solidFill>
                </w14:textFill>
              </w:rPr>
              <w:t>于面部真皮浅层注射暂时性改善成人皮肤干燥、肤色暗沉。</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▲该产品由透明质酸钠、盐酸利多卡因、磷酸盐缓冲体系和注射用水组成</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其中透明质酸钠由微生物发酵法制备,标示浓度为15mg/mL,盐酸利多卡因标示浓度为3 mg/mL。经高温蒸汽灭菌，一次性使用。</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（三）</w:t>
      </w:r>
      <w:r>
        <w:rPr>
          <w:rFonts w:hint="eastAsia" w:ascii="仿宋_GB2312" w:hAnsi="仿宋_GB2312" w:eastAsia="仿宋_GB2312" w:cs="仿宋_GB2312"/>
          <w:color w:val="000000" w:themeColor="text1"/>
          <w:kern w:val="2"/>
          <w:sz w:val="36"/>
          <w:szCs w:val="36"/>
          <w:highlight w:val="none"/>
          <w:lang w:val="en-US" w:eastAsia="zh-CN" w:bidi="ar-SA"/>
          <w14:textFill>
            <w14:solidFill>
              <w14:schemeClr w14:val="tx1"/>
            </w14:solidFill>
          </w14:textFill>
        </w:rPr>
        <w:t>医用护理功能敷料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14:textFill>
                  <w14:solidFill>
                    <w14:schemeClr w14:val="tx1"/>
                  </w14:solidFill>
                </w14:textFill>
              </w:rPr>
            </w:pPr>
          </w:p>
          <w:p>
            <w:pPr>
              <w:keepNext w:val="0"/>
              <w:keepLines w:val="0"/>
              <w:widowControl/>
              <w:suppressLineNumbers w:val="0"/>
              <w:jc w:val="left"/>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由海藻酸钠、甘油、烷基糖苷、羟苯甲酯及纯化水组成。用于小创口、擦伤、微整形/植发/皮肤磨削术后非慢性创面及周围皮肤的护理。</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100g/瓶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u w:val="none"/>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本品由敷料和包装材料组成。▲敷料由海藻酸钠、甘油、烷基糖苷、羟苯甲酯及纯化水组成。包装材料为聚酯瓶。</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（四）</w:t>
      </w:r>
      <w:r>
        <w:rPr>
          <w:rFonts w:hint="eastAsia" w:ascii="仿宋_GB2312" w:hAnsi="仿宋_GB2312" w:eastAsia="仿宋_GB2312" w:cs="仿宋_GB2312"/>
          <w:color w:val="000000" w:themeColor="text1"/>
          <w:kern w:val="2"/>
          <w:sz w:val="36"/>
          <w:szCs w:val="36"/>
          <w:highlight w:val="none"/>
          <w:lang w:val="en-US" w:eastAsia="zh-CN" w:bidi="ar-SA"/>
          <w14:textFill>
            <w14:solidFill>
              <w14:schemeClr w14:val="tx1"/>
            </w14:solidFill>
          </w14:textFill>
        </w:rPr>
        <w:t>医用聚谷氨酸功能敷料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pStyle w:val="22"/>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由透明质酸钠、</w:t>
            </w:r>
            <w:r>
              <w:rPr>
                <w:rFonts w:hint="eastAsia" w:ascii="宋体" w:hAnsi="宋体" w:eastAsia="宋体" w:cs="宋体"/>
                <w:color w:val="000000" w:themeColor="text1"/>
                <w:sz w:val="24"/>
                <w:szCs w:val="24"/>
                <w14:textFill>
                  <w14:solidFill>
                    <w14:schemeClr w14:val="tx1"/>
                  </w14:solidFill>
                </w14:textFill>
              </w:rPr>
              <w:t>聚谷氨酸</w:t>
            </w:r>
            <w:r>
              <w:rPr>
                <w:rFonts w:hint="eastAsia" w:ascii="宋体" w:hAnsi="宋体" w:eastAsia="宋体" w:cs="宋体"/>
                <w:color w:val="000000" w:themeColor="text1"/>
                <w:sz w:val="24"/>
                <w:szCs w:val="24"/>
                <w:lang w:val="en-US" w:eastAsia="zh-CN"/>
                <w14:textFill>
                  <w14:solidFill>
                    <w14:schemeClr w14:val="tx1"/>
                  </w14:solidFill>
                </w14:textFill>
              </w:rPr>
              <w:t>钠组成。</w:t>
            </w:r>
            <w:r>
              <w:rPr>
                <w:rFonts w:hint="eastAsia" w:ascii="宋体" w:hAnsi="宋体" w:eastAsia="宋体" w:cs="宋体"/>
                <w:b w:val="0"/>
                <w:bCs w:val="0"/>
                <w:color w:val="000000" w:themeColor="text1"/>
                <w:sz w:val="24"/>
                <w:szCs w:val="24"/>
                <w:lang w:val="en-US" w:eastAsia="zh-CN"/>
                <w14:textFill>
                  <w14:solidFill>
                    <w14:schemeClr w14:val="tx1"/>
                  </w14:solidFill>
                </w14:textFill>
              </w:rPr>
              <w:t>能在皮肤生形成生物保护膜，阻挡紫外线减少紫外线损伤。聚谷氨酸能抑制酪氨酸酶活性，美白保湿；抗氧化抗炎，同时有利于创面恢复，有效预防光电治疗后返黑。</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30g/支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由敷料和包装材料组成。▲敷料由透明质酸钠、</w:t>
            </w:r>
            <w:r>
              <w:rPr>
                <w:rFonts w:hint="eastAsia" w:ascii="宋体" w:hAnsi="宋体" w:eastAsia="宋体" w:cs="宋体"/>
                <w:color w:val="000000" w:themeColor="text1"/>
                <w:sz w:val="24"/>
                <w:szCs w:val="24"/>
                <w14:textFill>
                  <w14:solidFill>
                    <w14:schemeClr w14:val="tx1"/>
                  </w14:solidFill>
                </w14:textFill>
              </w:rPr>
              <w:t>聚谷氨酸</w:t>
            </w:r>
            <w:r>
              <w:rPr>
                <w:rFonts w:hint="eastAsia" w:ascii="宋体" w:hAnsi="宋体" w:eastAsia="宋体" w:cs="宋体"/>
                <w:color w:val="000000" w:themeColor="text1"/>
                <w:sz w:val="24"/>
                <w:szCs w:val="24"/>
                <w:lang w:val="en-US" w:eastAsia="zh-CN"/>
                <w14:textFill>
                  <w14:solidFill>
                    <w14:schemeClr w14:val="tx1"/>
                  </w14:solidFill>
                </w14:textFill>
              </w:rPr>
              <w:t>钠、苯甲醇、纯化水组成。包装材料为玻璃瓶。</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（五）注射用透明质酸钠复合溶液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产品主要由；透明质酸钠组成。用于皮内真皮层注射填充，以纠正颈部中重度皱纹</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2.5ml/支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预灌封注射器、不锈钢注射针(规格为30G)和封装在预灌封注射器中的复合溶液组成。▲复合溶液主要由透明质酸钠、L-肌肽、甘氨酸、丙氨酸、脯氨酸、维生素B2和注射用水组成，其中透明质酸钠由微生物发酵法制备，标示浓度为5mg/mL。复合溶液采用过滤除菌，经无菌灌装封装在预灌封注射器内。注射针无菌状态提供。该产品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（六）注射用透明质酸钠复合溶液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产品主要由：透明质酸钠组成。用于皮内真皮层注射填充，以纠正颈部中重度皱纹</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预灌封注射器、不锈钢注射针(规格为30G)和封装在预灌封注射器中的复合溶液组成。▲复合溶液主要由透明质酸钠、L-肌肽、甘氨酸、丙氨酸、脯氨酸、维生素B2和注射用水组成，其中透明质酸钠由微生物发酵法制备，标示浓度为5mg/mL。复合溶液采用过滤除菌，经无菌灌装封装在预灌封注射器内。注射针无菌状态提供。该产品一次性使用。</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（七）一次性使用无菌注射针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针座、针管和护套组成。</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与电子注射器助推装置配合使用，用于面部真皮层注射透明质酸钠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DAS9P32G-54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u w:val="none"/>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产品由针座、针管和护套组成，其中针座包含内胆针座、内胆针座密封圈、后堵注液螺杆、弹簧顶针、旋转盖，护套包含外壳底座、外壳底座密封圈，负压接头。▲内胆针座、后堵注液螺杆采用医疗级聚碳酸酯（PC）材料制成，外壳底座、旋转盖采用医疗级聚丙烯（PP）材料制成，针管采用符合GB/T 18457-2015制造医疗器械用不锈钢材料制成,弹簧顶针采用黄铜制成,内胆针座密封圈、外壳底座密封圈采用硅橡胶制成。▲产品经环氧乙烷灭菌，无菌提供。 </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default"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（八）一次性皮肤使用点刺针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numPr>
                <w:ilvl w:val="0"/>
                <w:numId w:val="0"/>
              </w:numP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产品主要由：针体和针柄组成。用于探、拨、挑、刺组织建立通道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widowControl w:val="0"/>
              <w:numPr>
                <w:ilvl w:val="0"/>
                <w:numId w:val="0"/>
              </w:numPr>
              <w:ind w:leftChars="0"/>
              <w:jc w:val="both"/>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0.18×2.5mm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产品</w:t>
            </w:r>
            <w:r>
              <w:rPr>
                <w:rFonts w:hint="eastAsia" w:ascii="宋体" w:hAnsi="宋体" w:eastAsia="宋体" w:cs="宋体"/>
                <w:color w:val="000000" w:themeColor="text1"/>
                <w:sz w:val="24"/>
                <w:szCs w:val="24"/>
                <w:lang w:val="en-US" w:eastAsia="zh-CN"/>
                <w14:textFill>
                  <w14:solidFill>
                    <w14:schemeClr w14:val="tx1"/>
                  </w14:solidFill>
                </w14:textFill>
              </w:rPr>
              <w:t>由针体和针柄组成，针体头端有尖头形状</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default"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（九）一次性使用无菌注射针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numPr>
                <w:ilvl w:val="0"/>
                <w:numId w:val="0"/>
              </w:numPr>
              <w:suppressLineNumbers w:val="0"/>
              <w:ind w:leftChars="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针座、针管和保护套组成。</w:t>
            </w:r>
            <w:r>
              <w:rPr>
                <w:rFonts w:hint="eastAsia" w:ascii="宋体" w:hAnsi="宋体" w:eastAsia="宋体" w:cs="宋体"/>
                <w:color w:val="000000" w:themeColor="text1"/>
                <w:sz w:val="24"/>
                <w:szCs w:val="24"/>
                <w:lang w:val="en-US" w:eastAsia="zh-CN"/>
                <w14:textFill>
                  <w14:solidFill>
                    <w14:schemeClr w14:val="tx1"/>
                  </w14:solidFill>
                </w14:textFill>
              </w:rPr>
              <w:t>本品与注射器或输液（血）器配套，仅对人体皮内、皮下、肌肉、静脉等注射或抽取药液时用。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widowControl w:val="0"/>
              <w:numPr>
                <w:ilvl w:val="0"/>
                <w:numId w:val="0"/>
              </w:numPr>
              <w:ind w:leftChars="0"/>
              <w:jc w:val="both"/>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1.2×38mm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widowControl w:val="0"/>
              <w:numPr>
                <w:ilvl w:val="0"/>
                <w:numId w:val="0"/>
              </w:numPr>
              <w:ind w:leftChars="0"/>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▲产品由针座、针管和保护套组成。</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jc w:val="center"/>
        <w:rPr>
          <w:rFonts w:hint="default"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numPr>
                <w:ilvl w:val="0"/>
                <w:numId w:val="0"/>
              </w:numPr>
              <w:suppressLineNumbers w:val="0"/>
              <w:ind w:leftChars="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针座、针管和护套组成。</w:t>
            </w:r>
            <w:r>
              <w:rPr>
                <w:rFonts w:hint="eastAsia" w:ascii="宋体" w:hAnsi="宋体" w:eastAsia="宋体" w:cs="宋体"/>
                <w:color w:val="000000" w:themeColor="text1"/>
                <w:sz w:val="24"/>
                <w:szCs w:val="24"/>
                <w:lang w:val="en-US" w:eastAsia="zh-CN"/>
                <w14:textFill>
                  <w14:solidFill>
                    <w14:schemeClr w14:val="tx1"/>
                  </w14:solidFill>
                </w14:textFill>
              </w:rPr>
              <w:t>用于人体皮内、皮下、肌肉、静脉注射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widowControl w:val="0"/>
              <w:numPr>
                <w:ilvl w:val="0"/>
                <w:numId w:val="0"/>
              </w:numPr>
              <w:ind w:leftChars="0"/>
              <w:jc w:val="both"/>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0.3×13mm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▲产品由针座、针管和护套组成。</w:t>
            </w: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（十一）一次性使用无菌注射针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numPr>
                <w:ilvl w:val="0"/>
                <w:numId w:val="0"/>
              </w:numPr>
              <w:suppressLineNumbers w:val="0"/>
              <w:ind w:leftChars="0"/>
              <w:jc w:val="left"/>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针座、针管盒护套组成。</w:t>
            </w:r>
            <w:r>
              <w:rPr>
                <w:rFonts w:hint="eastAsia" w:ascii="宋体" w:hAnsi="宋体" w:eastAsia="宋体" w:cs="宋体"/>
                <w:color w:val="000000" w:themeColor="text1"/>
                <w:sz w:val="24"/>
                <w:szCs w:val="24"/>
                <w:lang w:val="en-US" w:eastAsia="zh-CN"/>
                <w14:textFill>
                  <w14:solidFill>
                    <w14:schemeClr w14:val="tx1"/>
                  </w14:solidFill>
                </w14:textFill>
              </w:rPr>
              <w:t>用于人体皮内、皮下、肌肉、静脉注射</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34G   0.18×4mm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▲产品由针座、针管盒护套组成。</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（十二）一次性使用无菌皮肤滚针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tabs>
                <w:tab w:val="left" w:pos="312"/>
              </w:tabs>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14:textFill>
                  <w14:solidFill>
                    <w14:schemeClr w14:val="tx1"/>
                  </w14:solidFill>
                </w14:textFill>
              </w:rPr>
              <w:t>支架、滚轮/方针体、手柄组成。用于体表特定部位的局部刺激，实施滚针疗法</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▲皮肤滚针由支架、滚轮/方针体、手柄组成。按型式分为常规型、A、B型，按尺寸不同分为若干规格，滚轮的滚轮片可为3片-9片。▲该产品以无菌状态提供，经环氧乙烷灭菌，一次性使用。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（十三）一次性使用无菌皮肤滚针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tabs>
                <w:tab w:val="left" w:pos="312"/>
              </w:tabs>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14:textFill>
                  <w14:solidFill>
                    <w14:schemeClr w14:val="tx1"/>
                  </w14:solidFill>
                </w14:textFill>
              </w:rPr>
              <w:t>支架、滚轮/方针体、手柄组成。用于体表特定部位的局部刺激，实施滚针疗法</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▲皮肤滚针由支架、滚轮/方针体、手柄组成。按型式分为常规型、A、B型，按尺寸不同分为若干规格，滚轮的滚轮片可为3片-9片。▲该产品以无菌状态提供，经环氧乙烷灭菌，一次性使用。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（十四）医用透明质酸敷料护理包</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超分子水杨酸30%组成。适用于</w:t>
            </w:r>
            <w:r>
              <w:rPr>
                <w:rFonts w:hint="eastAsia" w:ascii="宋体" w:hAnsi="宋体" w:eastAsia="宋体" w:cs="宋体"/>
                <w:color w:val="000000" w:themeColor="text1"/>
                <w:sz w:val="24"/>
                <w:szCs w:val="24"/>
                <w:lang w:val="en-US" w:eastAsia="zh-CN"/>
                <w14:textFill>
                  <w14:solidFill>
                    <w14:schemeClr w14:val="tx1"/>
                  </w14:solidFill>
                </w14:textFill>
              </w:rPr>
              <w:t xml:space="preserve">痤疮、黑鼻头、毛囊炎、脂溢性皮炎、玫瑰痤疮、毛周角化症 、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炎症后色沉、黄褐斑的辅助治疗、提亮美白肤色 、           </w:t>
            </w:r>
          </w:p>
          <w:p>
            <w:pPr>
              <w:tabs>
                <w:tab w:val="left" w:pos="312"/>
              </w:tabs>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改善油性粗糙皮肤、鱼鳞病                           </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7g/6支/盒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p>
          <w:p>
            <w:pPr>
              <w:pStyle w:val="22"/>
              <w:numPr>
                <w:ilvl w:val="0"/>
                <w:numId w:val="0"/>
              </w:numPr>
              <w:ind w:leftChars="0"/>
              <w:rPr>
                <w:rFonts w:hint="eastAsia" w:ascii="宋体" w:hAnsi="宋体" w:eastAsia="宋体" w:cs="宋体"/>
                <w:color w:val="000000" w:themeColor="text1"/>
                <w:sz w:val="24"/>
                <w:szCs w:val="24"/>
                <w:u w:val="none"/>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▲产品主要成分：</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超分子水杨酸30% </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（十五）医用敷料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themeColor="text1"/>
                <w:kern w:val="2"/>
                <w:sz w:val="24"/>
                <w:szCs w:val="24"/>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产品主要由卡波姆、乳酸和纯化水组成。用于小创口、擦伤、切割伤、激光/光子/果酸换肤/微整形术后创面等非慢性创面及周围</w:t>
            </w:r>
            <w:r>
              <w:rPr>
                <w:rFonts w:hint="eastAsia" w:ascii="宋体" w:hAnsi="宋体" w:cs="宋体"/>
                <w:i w:val="0"/>
                <w:iCs w:val="0"/>
                <w:color w:val="000000" w:themeColor="text1"/>
                <w:kern w:val="0"/>
                <w:sz w:val="24"/>
                <w:szCs w:val="24"/>
                <w:u w:val="none"/>
                <w:lang w:val="en-US" w:eastAsia="zh-CN" w:bidi="ar"/>
                <w14:textFill>
                  <w14:solidFill>
                    <w14:schemeClr w14:val="tx1"/>
                  </w14:solidFill>
                </w14:textFill>
              </w:rPr>
              <w:t>皮肤护理。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g/瓶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产品主要成分：本品由敷料和包装材料组成。▲辅料由卡波姆、乳酸和纯化水组成，包装材料为硼硅玻璃瓶</w:t>
            </w:r>
          </w:p>
        </w:tc>
      </w:tr>
    </w:tbl>
    <w:p>
      <w:pPr>
        <w:rPr>
          <w:rFonts w:hint="eastAsia" w:ascii="仿宋_GB2312" w:hAnsi="仿宋_GB2312" w:eastAsia="仿宋_GB2312" w:cs="仿宋_GB2312"/>
          <w:b w:val="0"/>
          <w:kern w:val="0"/>
          <w:sz w:val="28"/>
          <w:szCs w:val="28"/>
          <w:highlight w:val="none"/>
          <w:lang w:val="en-US" w:eastAsia="zh-CN" w:bidi="ar"/>
        </w:rPr>
      </w:pPr>
      <w:bookmarkStart w:id="51" w:name="OLE_LINK5"/>
      <w:r>
        <w:rPr>
          <w:rFonts w:hint="eastAsia" w:ascii="仿宋_GB2312" w:hAnsi="仿宋_GB2312" w:eastAsia="仿宋_GB2312" w:cs="仿宋_GB2312"/>
          <w:b w:val="0"/>
          <w:kern w:val="0"/>
          <w:sz w:val="28"/>
          <w:szCs w:val="28"/>
          <w:highlight w:val="none"/>
          <w:lang w:val="en-US" w:eastAsia="zh-CN" w:bidi="ar"/>
        </w:rPr>
        <w:t>注：其中标注“</w:t>
      </w:r>
      <w:bookmarkStart w:id="52" w:name="OLE_LINK7"/>
      <w:r>
        <w:rPr>
          <w:rFonts w:hint="eastAsia" w:ascii="仿宋_GB2312" w:hAnsi="仿宋_GB2312" w:eastAsia="仿宋_GB2312" w:cs="仿宋_GB2312"/>
          <w:b w:val="0"/>
          <w:kern w:val="0"/>
          <w:sz w:val="28"/>
          <w:szCs w:val="28"/>
          <w:highlight w:val="none"/>
          <w:lang w:val="en-US" w:eastAsia="zh-CN" w:bidi="ar"/>
        </w:rPr>
        <w:t>▲</w:t>
      </w:r>
      <w:bookmarkEnd w:id="52"/>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bookmarkEnd w:id="51"/>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或短信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3"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30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20</w:t>
            </w:r>
            <w:r>
              <w:rPr>
                <w:rFonts w:hint="eastAsia" w:ascii="微软雅黑" w:hAnsi="微软雅黑" w:eastAsia="微软雅黑" w:cs="微软雅黑"/>
                <w:sz w:val="18"/>
                <w:szCs w:val="18"/>
                <w:highlight w:val="none"/>
              </w:rPr>
              <w:t>分</w:t>
            </w:r>
            <w:r>
              <w:rPr>
                <w:rFonts w:hint="eastAsia" w:ascii="微软雅黑" w:hAnsi="微软雅黑" w:eastAsia="微软雅黑" w:cs="微软雅黑"/>
                <w:sz w:val="18"/>
                <w:szCs w:val="18"/>
                <w:highlight w:val="none"/>
                <w:lang w:eastAsia="zh-CN"/>
              </w:rPr>
              <w:t>，</w:t>
            </w:r>
            <w:r>
              <w:rPr>
                <w:rFonts w:hint="eastAsia" w:ascii="微软雅黑" w:hAnsi="微软雅黑" w:eastAsia="微软雅黑" w:cs="微软雅黑"/>
                <w:sz w:val="18"/>
                <w:szCs w:val="18"/>
                <w:highlight w:val="none"/>
              </w:rPr>
              <w:t>有一条▲重要参数负偏离扣</w:t>
            </w:r>
            <w:r>
              <w:rPr>
                <w:rFonts w:hint="eastAsia" w:ascii="微软雅黑" w:hAnsi="微软雅黑" w:eastAsia="微软雅黑" w:cs="微软雅黑"/>
                <w:sz w:val="18"/>
                <w:szCs w:val="18"/>
                <w:highlight w:val="none"/>
                <w:lang w:val="en-US" w:eastAsia="zh-CN"/>
              </w:rPr>
              <w:t>3</w:t>
            </w:r>
            <w:r>
              <w:rPr>
                <w:rFonts w:hint="eastAsia" w:ascii="微软雅黑" w:hAnsi="微软雅黑" w:eastAsia="微软雅黑" w:cs="微软雅黑"/>
                <w:sz w:val="18"/>
                <w:szCs w:val="18"/>
                <w:highlight w:val="none"/>
              </w:rPr>
              <w:t>分，其他一般参数（有负偏离的一项扣</w:t>
            </w:r>
            <w:r>
              <w:rPr>
                <w:rFonts w:hint="eastAsia" w:ascii="微软雅黑" w:hAnsi="微软雅黑" w:eastAsia="微软雅黑" w:cs="微软雅黑"/>
                <w:sz w:val="18"/>
                <w:szCs w:val="18"/>
                <w:highlight w:val="none"/>
                <w:lang w:val="en-US" w:eastAsia="zh-CN"/>
              </w:rPr>
              <w:t>1</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15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提供投标样品的完整性和样品质量、外观、制作材料、性能等综合评定，综合评定最佳得25分，其余按3分一个梯度递减，扣完为止。无不得分。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bookmarkStart w:id="56" w:name="_GoBack"/>
            <w:bookmarkEnd w:id="56"/>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2"/>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2"/>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3"/>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2026年第四批医用耗材遴选项目</w:t>
      </w:r>
    </w:p>
    <w:p>
      <w:pPr>
        <w:jc w:val="center"/>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ind w:firstLine="2640" w:firstLineChars="600"/>
        <w:rPr>
          <w:rFonts w:hint="eastAsia"/>
          <w:sz w:val="44"/>
          <w:szCs w:val="44"/>
          <w:lang w:eastAsia="zh-CN"/>
        </w:rPr>
      </w:pP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pStyle w:val="2"/>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1045"/>
        <w:gridCol w:w="311"/>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237" w:type="dxa"/>
            <w:gridSpan w:val="2"/>
            <w:noWrap/>
            <w:vAlign w:val="center"/>
          </w:tcPr>
          <w:p>
            <w:pPr>
              <w:jc w:val="center"/>
              <w:rPr>
                <w:sz w:val="24"/>
              </w:rPr>
            </w:pPr>
            <w:r>
              <w:rPr>
                <w:rFonts w:hint="eastAsia"/>
                <w:sz w:val="24"/>
              </w:rPr>
              <w:t>生产企业许可证号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237" w:type="dxa"/>
            <w:gridSpan w:val="2"/>
            <w:noWrap/>
            <w:vAlign w:val="center"/>
          </w:tcPr>
          <w:p>
            <w:pPr>
              <w:jc w:val="center"/>
              <w:rPr>
                <w:sz w:val="24"/>
              </w:rPr>
            </w:pPr>
            <w:r>
              <w:rPr>
                <w:rFonts w:hint="eastAsia"/>
                <w:sz w:val="24"/>
              </w:rPr>
              <w:t>帐  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4" w:name="OLE_LINK30"/>
      <w:r>
        <w:rPr>
          <w:rFonts w:hint="eastAsia"/>
          <w:b/>
          <w:sz w:val="44"/>
          <w:szCs w:val="44"/>
        </w:rPr>
        <w:t>业绩情况表</w:t>
      </w:r>
      <w:bookmarkEnd w:id="54"/>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3"/>
        </w:numPr>
        <w:spacing w:line="360" w:lineRule="auto"/>
        <w:ind w:left="357" w:hanging="357"/>
        <w:rPr>
          <w:szCs w:val="21"/>
        </w:rPr>
      </w:pPr>
      <w:r>
        <w:rPr>
          <w:rFonts w:hint="eastAsia"/>
          <w:szCs w:val="21"/>
        </w:rPr>
        <w:t>遴选人可根据自己实际业绩情况续添表格。</w:t>
      </w:r>
    </w:p>
    <w:p>
      <w:pPr>
        <w:numPr>
          <w:ilvl w:val="0"/>
          <w:numId w:val="3"/>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3"/>
        </w:numPr>
        <w:spacing w:line="360" w:lineRule="auto"/>
        <w:ind w:left="357" w:hanging="357"/>
        <w:rPr>
          <w:szCs w:val="21"/>
        </w:rPr>
      </w:pPr>
      <w:r>
        <w:rPr>
          <w:rFonts w:hint="eastAsia"/>
          <w:szCs w:val="21"/>
        </w:rPr>
        <w:t>遴选</w:t>
      </w:r>
      <w:r>
        <w:rPr>
          <w:rFonts w:hint="eastAsia"/>
        </w:rPr>
        <w:t>人提供供货品名应包含本次</w:t>
      </w:r>
      <w:bookmarkStart w:id="55" w:name="OLE_LINK31"/>
      <w:r>
        <w:rPr>
          <w:rFonts w:hint="eastAsia"/>
          <w:lang w:val="en-US" w:eastAsia="zh-CN"/>
        </w:rPr>
        <w:t>遴选</w:t>
      </w:r>
      <w:r>
        <w:rPr>
          <w:rFonts w:hint="eastAsia"/>
        </w:rPr>
        <w:t>内容所涉及的品名</w:t>
      </w:r>
      <w:bookmarkEnd w:id="55"/>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4D7F0DB"/>
    <w:multiLevelType w:val="singleLevel"/>
    <w:tmpl w:val="44D7F0DB"/>
    <w:lvl w:ilvl="0" w:tentative="0">
      <w:start w:val="1"/>
      <w:numFmt w:val="decimal"/>
      <w:suff w:val="nothing"/>
      <w:lvlText w:val="%1、"/>
      <w:lvlJc w:val="left"/>
    </w:lvl>
  </w:abstractNum>
  <w:abstractNum w:abstractNumId="2">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807665"/>
    <w:rsid w:val="01E70014"/>
    <w:rsid w:val="02AB367C"/>
    <w:rsid w:val="03195DA0"/>
    <w:rsid w:val="05597B2D"/>
    <w:rsid w:val="0767189C"/>
    <w:rsid w:val="086B314A"/>
    <w:rsid w:val="09387EF0"/>
    <w:rsid w:val="0A4B0D1B"/>
    <w:rsid w:val="0A896BEE"/>
    <w:rsid w:val="0AE9729B"/>
    <w:rsid w:val="0B3E477B"/>
    <w:rsid w:val="0C975F8B"/>
    <w:rsid w:val="0D5B0077"/>
    <w:rsid w:val="0D707F59"/>
    <w:rsid w:val="0E2930D9"/>
    <w:rsid w:val="102E579C"/>
    <w:rsid w:val="112115A6"/>
    <w:rsid w:val="130846BD"/>
    <w:rsid w:val="142C636E"/>
    <w:rsid w:val="153C6A85"/>
    <w:rsid w:val="157A6E54"/>
    <w:rsid w:val="171905FE"/>
    <w:rsid w:val="17A032FB"/>
    <w:rsid w:val="17F86055"/>
    <w:rsid w:val="185350FA"/>
    <w:rsid w:val="193F3F8B"/>
    <w:rsid w:val="196F6A17"/>
    <w:rsid w:val="19FE010D"/>
    <w:rsid w:val="1AB95DD4"/>
    <w:rsid w:val="1C3D578D"/>
    <w:rsid w:val="1CFA299A"/>
    <w:rsid w:val="1F125F48"/>
    <w:rsid w:val="1FFF29BA"/>
    <w:rsid w:val="20E22BD7"/>
    <w:rsid w:val="21A70FDA"/>
    <w:rsid w:val="22264B96"/>
    <w:rsid w:val="26E94C1D"/>
    <w:rsid w:val="279938C3"/>
    <w:rsid w:val="2A0E1AD1"/>
    <w:rsid w:val="2C6058BE"/>
    <w:rsid w:val="2D2E52D3"/>
    <w:rsid w:val="2DDD5E77"/>
    <w:rsid w:val="2F772CBA"/>
    <w:rsid w:val="303B4617"/>
    <w:rsid w:val="31596E00"/>
    <w:rsid w:val="31EE5DD2"/>
    <w:rsid w:val="32110C25"/>
    <w:rsid w:val="33075531"/>
    <w:rsid w:val="33966705"/>
    <w:rsid w:val="35995C06"/>
    <w:rsid w:val="36370E00"/>
    <w:rsid w:val="38077F0A"/>
    <w:rsid w:val="381B6742"/>
    <w:rsid w:val="3AEF1277"/>
    <w:rsid w:val="3B3C28BA"/>
    <w:rsid w:val="3BC73741"/>
    <w:rsid w:val="3C490855"/>
    <w:rsid w:val="3CB85D40"/>
    <w:rsid w:val="3F862AD9"/>
    <w:rsid w:val="41956633"/>
    <w:rsid w:val="42841CF7"/>
    <w:rsid w:val="461E795D"/>
    <w:rsid w:val="471E76C0"/>
    <w:rsid w:val="4BFD2092"/>
    <w:rsid w:val="4F076272"/>
    <w:rsid w:val="504C263A"/>
    <w:rsid w:val="509E466A"/>
    <w:rsid w:val="51017F2E"/>
    <w:rsid w:val="529C7B89"/>
    <w:rsid w:val="52A973CC"/>
    <w:rsid w:val="5404669D"/>
    <w:rsid w:val="54D05064"/>
    <w:rsid w:val="56A2484D"/>
    <w:rsid w:val="578D05CA"/>
    <w:rsid w:val="5A2E4335"/>
    <w:rsid w:val="5A64000D"/>
    <w:rsid w:val="5A8E174B"/>
    <w:rsid w:val="5B4D0C4A"/>
    <w:rsid w:val="5F182C77"/>
    <w:rsid w:val="5FFE1E57"/>
    <w:rsid w:val="611539DF"/>
    <w:rsid w:val="630255B2"/>
    <w:rsid w:val="64626698"/>
    <w:rsid w:val="656A1874"/>
    <w:rsid w:val="66C370E7"/>
    <w:rsid w:val="67163E67"/>
    <w:rsid w:val="692264AF"/>
    <w:rsid w:val="69B52C48"/>
    <w:rsid w:val="6A303450"/>
    <w:rsid w:val="6A6D26C5"/>
    <w:rsid w:val="6B9F2F79"/>
    <w:rsid w:val="6BD21116"/>
    <w:rsid w:val="6C366AF9"/>
    <w:rsid w:val="6D1E4559"/>
    <w:rsid w:val="7026552C"/>
    <w:rsid w:val="714B5871"/>
    <w:rsid w:val="723E076B"/>
    <w:rsid w:val="744951F7"/>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30</Pages>
  <Words>8222</Words>
  <Characters>8645</Characters>
  <Lines>58</Lines>
  <Paragraphs>16</Paragraphs>
  <TotalTime>7</TotalTime>
  <ScaleCrop>false</ScaleCrop>
  <LinksUpToDate>false</LinksUpToDate>
  <CharactersWithSpaces>8860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2026-10-22T05:56:50Z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eyJoZGlkIjoiZmZjM2ViODFmNzdjMjgxZjkxNjk5NWNhNGI3YWZhN2MifQ==</vt:lpwstr>
  </property>
</Properties>
</file>